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0"/>
      </w:pPr>
    </w:p>
    <w:p>
      <w:pPr>
        <w:spacing w:after="160"/>
      </w:pPr>
      <w:r>
        <w:rPr>
          <w:rFonts w:ascii="Inter" w:cs="Inter" w:eastAsia="Inter" w:hAnsi="Inter"/>
          <w:b/>
          <w:bCs/>
          <w:color w:val="43648D"/>
          <w:sz w:val="16"/>
          <w:szCs w:val="16"/>
        </w:rPr>
        <w:t xml:space="preserve">▬  </w:t>
      </w:r>
      <w:r>
        <w:rPr>
          <w:rFonts w:ascii="Inter" w:cs="Inter" w:eastAsia="Inter" w:hAnsi="Inter"/>
          <w:b/>
          <w:bCs/>
          <w:color w:val="43648D"/>
          <w:spacing w:val="24"/>
          <w:sz w:val="18"/>
          <w:szCs w:val="18"/>
        </w:rPr>
        <w:t xml:space="preserve">DOCUMENT TYPE</w:t>
      </w:r>
    </w:p>
    <w:p>
      <w:pPr>
        <w:spacing w:after="0" w:line="320"/>
      </w:pPr>
      <w:r>
        <w:rPr>
          <w:rFonts w:ascii="Manrope" w:cs="Manrope" w:eastAsia="Manrope" w:hAnsi="Manrope"/>
          <w:b/>
          <w:bCs/>
          <w:color w:val="1D1D1F"/>
          <w:sz w:val="60"/>
          <w:szCs w:val="60"/>
        </w:rPr>
        <w:t xml:space="preserve">A statement title</w:t>
      </w:r>
    </w:p>
    <w:p>
      <w:pPr>
        <w:spacing w:after="240" w:line="320"/>
      </w:pPr>
      <w:r>
        <w:rPr>
          <w:rFonts w:ascii="Manrope" w:cs="Manrope" w:eastAsia="Manrope" w:hAnsi="Manrope"/>
          <w:b/>
          <w:bCs/>
          <w:color w:val="1D1D1F"/>
          <w:sz w:val="60"/>
          <w:szCs w:val="60"/>
        </w:rPr>
        <w:t xml:space="preserve">that fills the frame.</w:t>
      </w:r>
    </w:p>
    <w:p>
      <w:pPr>
        <w:spacing w:after="400"/>
      </w:pPr>
      <w:r>
        <w:rPr>
          <w:rFonts w:ascii="Inter" w:cs="Inter" w:eastAsia="Inter" w:hAnsi="Inter"/>
          <w:color w:val="6E6E73"/>
          <w:sz w:val="24"/>
          <w:szCs w:val="24"/>
        </w:rPr>
        <w:t xml:space="preserve">One or two lines that say what this document does and who it is for. Plain, direct, human.</w:t>
      </w:r>
    </w:p>
    <w:p>
      <w:pPr>
        <w:spacing w:after="2400"/>
      </w:pPr>
    </w:p>
    <w:p>
      <w:pPr>
        <w:pBdr>
          <w:top w:val="single" w:color="D2D2D7" w:sz="4" w:space="12"/>
        </w:pBdr>
        <w:spacing w:before="200"/>
      </w:pPr>
      <w:r>
        <w:rPr>
          <w:rFonts w:ascii="Inter" w:cs="Inter" w:eastAsia="Inter" w:hAnsi="Inter"/>
          <w:color w:val="6E6E73"/>
          <w:sz w:val="18"/>
          <w:szCs w:val="18"/>
        </w:rPr>
        <w:t xml:space="preserve">Seconds Co  ·  Owner: Name  ·  Date</w:t>
      </w:r>
    </w:p>
    <w:p>
      <w:r>
        <w:br w:type="page"/>
      </w:r>
    </w:p>
    <w:p>
      <w:pPr>
        <w:spacing w:after="160"/>
      </w:pPr>
      <w:r>
        <w:rPr>
          <w:rFonts w:ascii="Inter" w:cs="Inter" w:eastAsia="Inter" w:hAnsi="Inter"/>
          <w:b/>
          <w:bCs/>
          <w:color w:val="43648D"/>
          <w:sz w:val="16"/>
          <w:szCs w:val="16"/>
        </w:rPr>
        <w:t xml:space="preserve">▬  </w:t>
      </w:r>
      <w:r>
        <w:rPr>
          <w:rFonts w:ascii="Inter" w:cs="Inter" w:eastAsia="Inter" w:hAnsi="Inter"/>
          <w:b/>
          <w:bCs/>
          <w:color w:val="43648D"/>
          <w:spacing w:val="24"/>
          <w:sz w:val="18"/>
          <w:szCs w:val="18"/>
        </w:rPr>
        <w:t xml:space="preserve">SECTION 01</w:t>
      </w:r>
    </w:p>
    <w:p>
      <w:pPr>
        <w:pStyle w:val="Heading1"/>
        <w:spacing w:after="200" w:before="480"/>
      </w:pPr>
      <w:r>
        <w:rPr>
          <w:rFonts w:ascii="Manrope" w:cs="Manrope" w:eastAsia="Manrope" w:hAnsi="Manrope"/>
          <w:b/>
          <w:bCs/>
          <w:color w:val="1D1D1F"/>
          <w:sz w:val="36"/>
          <w:szCs w:val="36"/>
        </w:rPr>
        <w:t xml:space="preserve">Heading style, H1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This is the H1 style: large, ink-colored, Manrope bold, for the top-level heading on a content page. Keep it to one line where possible.</w:t>
      </w:r>
    </w:p>
    <w:p>
      <w:pPr>
        <w:pStyle w:val="Heading2"/>
        <w:spacing w:after="160" w:before="360"/>
      </w:pPr>
      <w:r>
        <w:rPr>
          <w:rFonts w:ascii="Manrope" w:cs="Manrope" w:eastAsia="Manrope" w:hAnsi="Manrope"/>
          <w:b/>
          <w:bCs/>
          <w:color w:val="43648D"/>
          <w:sz w:val="26"/>
          <w:szCs w:val="26"/>
        </w:rPr>
        <w:t xml:space="preserve">Heading style, H2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This is the H2 style: denim-colored, Manrope bold, a size step down from H1. Use it for the sections inside a page.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This is the body style: Inter regular, ink-colored, comfortable line height. Short sentences. One idea per paragraph. If a line needs reading twice, it is not done. Body copy should read like a person talking, not a policy talking.</w:t>
      </w:r>
    </w:p>
    <w:p>
      <w:pPr>
        <w:spacing w:after="200" w:line="288"/>
      </w:pPr>
      <w:r>
        <w:rPr>
          <w:rFonts w:ascii="Inter" w:cs="Inter" w:eastAsia="Inter" w:hAnsi="Inter"/>
          <w:i/>
          <w:iCs/>
          <w:color w:val="6E6E73"/>
          <w:sz w:val="22"/>
          <w:szCs w:val="22"/>
        </w:rPr>
        <w:t xml:space="preserve">Use italic muted body copy for asides, captions, or secondary context that supports the main point without competing with it.</w:t>
      </w:r>
    </w:p>
    <w:p>
      <w:pPr>
        <w:spacing w:after="120"/>
      </w:pPr>
    </w:p>
    <w:p>
      <w:pPr>
        <w:pStyle w:val="Heading2"/>
        <w:spacing w:after="160" w:before="360"/>
      </w:pPr>
      <w:r>
        <w:rPr>
          <w:rFonts w:ascii="Manrope" w:cs="Manrope" w:eastAsia="Manrope" w:hAnsi="Manrope"/>
          <w:b/>
          <w:bCs/>
          <w:color w:val="43648D"/>
          <w:sz w:val="26"/>
          <w:szCs w:val="26"/>
        </w:rPr>
        <w:t xml:space="preserve">Numbered steps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Use this pattern any time a document walks through a sequence. The denim number anchors the eye; keep each step to a short title plus one line of detail.</w:t>
      </w:r>
    </w:p>
    <w:p>
      <w:pPr>
        <w:spacing w:after="120"/>
      </w:pP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00"/>
        <w:gridCol w:w="8650"/>
      </w:tblGrid>
      <w:tr>
        <w:tc>
          <w:tcPr>
            <w:tcW w:type="dxa" w:w="700"/>
            <w:shd w:fill="43648D" w:color="43648D" w:val="clear"/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before="40"/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FFFFFF"/>
                <w:sz w:val="20"/>
                <w:szCs w:val="20"/>
              </w:rPr>
              <w:t xml:space="preserve">1</w:t>
            </w:r>
          </w:p>
        </w:tc>
        <w:tc>
          <w:tcPr>
            <w:tcW w:type="dxa" w:w="8650"/>
            <w:tcMar>
              <w:top w:type="dxa" w:w="40"/>
              <w:left w:type="dxa" w:w="20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rFonts w:ascii="Manrope" w:cs="Manrope" w:eastAsia="Manrope" w:hAnsi="Manrope"/>
                <w:b/>
                <w:bCs/>
                <w:color w:val="1D1D1F"/>
                <w:sz w:val="22"/>
                <w:szCs w:val="22"/>
              </w:rPr>
              <w:t xml:space="preserve">Say what happened.</w:t>
            </w:r>
          </w:p>
          <w:p>
            <w:r>
              <w:rPr>
                <w:rFonts w:ascii="Inter" w:cs="Inter" w:eastAsia="Inter" w:hAnsi="Inter"/>
                <w:color w:val="6E6E73"/>
                <w:sz w:val="21"/>
                <w:szCs w:val="21"/>
              </w:rPr>
              <w:t xml:space="preserve">One line, plainly. No preamble, no throat-clearing.</w:t>
            </w:r>
          </w:p>
        </w:tc>
      </w:tr>
    </w:tbl>
    <w:p>
      <w:pPr>
        <w:spacing w:after="160"/>
      </w:pP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00"/>
        <w:gridCol w:w="8650"/>
      </w:tblGrid>
      <w:tr>
        <w:tc>
          <w:tcPr>
            <w:tcW w:type="dxa" w:w="700"/>
            <w:shd w:fill="43648D" w:color="43648D" w:val="clear"/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before="40"/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FFFFFF"/>
                <w:sz w:val="20"/>
                <w:szCs w:val="20"/>
              </w:rPr>
              <w:t xml:space="preserve">2</w:t>
            </w:r>
          </w:p>
        </w:tc>
        <w:tc>
          <w:tcPr>
            <w:tcW w:type="dxa" w:w="8650"/>
            <w:tcMar>
              <w:top w:type="dxa" w:w="40"/>
              <w:left w:type="dxa" w:w="20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rFonts w:ascii="Manrope" w:cs="Manrope" w:eastAsia="Manrope" w:hAnsi="Manrope"/>
                <w:b/>
                <w:bCs/>
                <w:color w:val="1D1D1F"/>
                <w:sz w:val="22"/>
                <w:szCs w:val="22"/>
              </w:rPr>
              <w:t xml:space="preserve">Say what it means.</w:t>
            </w:r>
          </w:p>
          <w:p>
            <w:r>
              <w:rPr>
                <w:rFonts w:ascii="Inter" w:cs="Inter" w:eastAsia="Inter" w:hAnsi="Inter"/>
                <w:color w:val="6E6E73"/>
                <w:sz w:val="21"/>
                <w:szCs w:val="21"/>
              </w:rPr>
              <w:t xml:space="preserve">Connect the fact to the decision it affects.</w:t>
            </w:r>
          </w:p>
        </w:tc>
      </w:tr>
    </w:tbl>
    <w:p>
      <w:pPr>
        <w:spacing w:after="160"/>
      </w:pP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00"/>
        <w:gridCol w:w="8650"/>
      </w:tblGrid>
      <w:tr>
        <w:tc>
          <w:tcPr>
            <w:tcW w:type="dxa" w:w="700"/>
            <w:shd w:fill="43648D" w:color="43648D" w:val="clear"/>
            <w:tcMar>
              <w:top w:type="dxa" w:w="40"/>
              <w:left w:type="dxa" w:w="0"/>
              <w:bottom w:type="dxa" w:w="40"/>
              <w:right w:type="dxa" w:w="0"/>
            </w:tcMar>
            <w:vAlign w:val="top"/>
          </w:tcPr>
          <w:p>
            <w:pPr>
              <w:spacing w:before="40"/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FFFFFF"/>
                <w:sz w:val="20"/>
                <w:szCs w:val="20"/>
              </w:rPr>
              <w:t xml:space="preserve">3</w:t>
            </w:r>
          </w:p>
        </w:tc>
        <w:tc>
          <w:tcPr>
            <w:tcW w:type="dxa" w:w="8650"/>
            <w:tcMar>
              <w:top w:type="dxa" w:w="40"/>
              <w:left w:type="dxa" w:w="20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rFonts w:ascii="Manrope" w:cs="Manrope" w:eastAsia="Manrope" w:hAnsi="Manrope"/>
                <w:b/>
                <w:bCs/>
                <w:color w:val="1D1D1F"/>
                <w:sz w:val="22"/>
                <w:szCs w:val="22"/>
              </w:rPr>
              <w:t xml:space="preserve">Say what happens next.</w:t>
            </w:r>
          </w:p>
          <w:p>
            <w:r>
              <w:rPr>
                <w:rFonts w:ascii="Inter" w:cs="Inter" w:eastAsia="Inter" w:hAnsi="Inter"/>
                <w:color w:val="6E6E73"/>
                <w:sz w:val="21"/>
                <w:szCs w:val="21"/>
              </w:rPr>
              <w:t xml:space="preserve">Name the owner and the date. Every step needs both.</w:t>
            </w:r>
          </w:p>
        </w:tc>
      </w:tr>
    </w:tbl>
    <w:p>
      <w:pPr>
        <w:spacing w:after="280"/>
      </w:pPr>
    </w:p>
    <w:p>
      <w:r>
        <w:br w:type="page"/>
      </w:r>
    </w:p>
    <w:p>
      <w:pPr>
        <w:spacing w:after="160"/>
      </w:pPr>
      <w:r>
        <w:rPr>
          <w:rFonts w:ascii="Inter" w:cs="Inter" w:eastAsia="Inter" w:hAnsi="Inter"/>
          <w:b/>
          <w:bCs/>
          <w:color w:val="43648D"/>
          <w:sz w:val="16"/>
          <w:szCs w:val="16"/>
        </w:rPr>
        <w:t xml:space="preserve">▬  </w:t>
      </w:r>
      <w:r>
        <w:rPr>
          <w:rFonts w:ascii="Inter" w:cs="Inter" w:eastAsia="Inter" w:hAnsi="Inter"/>
          <w:b/>
          <w:bCs/>
          <w:color w:val="43648D"/>
          <w:spacing w:val="24"/>
          <w:sz w:val="18"/>
          <w:szCs w:val="18"/>
        </w:rPr>
        <w:t xml:space="preserve">SECTION 02</w:t>
      </w:r>
    </w:p>
    <w:p>
      <w:pPr>
        <w:pStyle w:val="Heading1"/>
        <w:spacing w:after="200" w:before="480"/>
      </w:pPr>
      <w:r>
        <w:rPr>
          <w:rFonts w:ascii="Manrope" w:cs="Manrope" w:eastAsia="Manrope" w:hAnsi="Manrope"/>
          <w:b/>
          <w:bCs/>
          <w:color w:val="1D1D1F"/>
          <w:sz w:val="36"/>
          <w:szCs w:val="36"/>
        </w:rPr>
        <w:t xml:space="preserve">Callouts and quotes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Use the callout style below to pull out a decision, a quote, or a line that deserves its own space on the page. Keep it to one or two sentences so it stays legible as a callout rather than becoming a second body paragraph.</w:t>
      </w:r>
    </w:p>
    <w:p>
      <w:pPr>
        <w:spacing w:after="160"/>
      </w:pPr>
    </w:p>
    <w:tbl>
      <w:tblPr>
        <w:tblW w:type="dxa" w:w="9350"/>
        <w:tblBorders>
          <w:top w:val="none" w:color="FFFFFF" w:sz="0"/>
          <w:left w:val="single" w:color="43648D" w:sz="24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E8EEF7" w:color="E8EEF7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60"/>
            </w:pPr>
            <w:r>
              <w:rPr>
                <w:rFonts w:ascii="Manrope" w:cs="Manrope" w:eastAsia="Manrope" w:hAnsi="Manrope"/>
                <w:i/>
                <w:iCs/>
                <w:color w:val="1D1D1F"/>
                <w:sz w:val="27"/>
                <w:szCs w:val="27"/>
              </w:rPr>
              <w:t xml:space="preserve">“The highest compliment is seconds.” Say the plain thing, then stop.</w:t>
            </w:r>
          </w:p>
          <w:p>
            <w:r>
              <w:rPr>
                <w:rFonts w:ascii="Inter" w:cs="Inter" w:eastAsia="Inter" w:hAnsi="Inter"/>
                <w:color w:val="6E6E73"/>
                <w:sz w:val="19"/>
                <w:szCs w:val="19"/>
              </w:rPr>
              <w:t xml:space="preserve">Style note, Seconds Co brand voice</w:t>
            </w:r>
          </w:p>
        </w:tc>
      </w:tr>
    </w:tbl>
    <w:p>
      <w:pPr>
        <w:spacing w:after="280"/>
      </w:pPr>
    </w:p>
    <w:p>
      <w:pPr>
        <w:pStyle w:val="Heading2"/>
        <w:spacing w:after="160" w:before="360"/>
      </w:pPr>
      <w:r>
        <w:rPr>
          <w:rFonts w:ascii="Manrope" w:cs="Manrope" w:eastAsia="Manrope" w:hAnsi="Manrope"/>
          <w:b/>
          <w:bCs/>
          <w:color w:val="43648D"/>
          <w:sz w:val="26"/>
          <w:szCs w:val="26"/>
        </w:rPr>
        <w:t xml:space="preserve">When to use this template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Reach for this template for anything that will be read start to finish: a memo, a plan, a runbook, a brief. Start with the cover page, then use H1 for each major section and H2 for the subsections inside it.</w:t>
      </w:r>
    </w:p>
    <w:p>
      <w:pPr>
        <w:spacing w:after="200" w:line="288"/>
      </w:pPr>
      <w:r>
        <w:rPr>
          <w:rFonts w:ascii="Inter" w:cs="Inter" w:eastAsia="Inter" w:hAnsi="Inter"/>
          <w:color w:val="1D1D1F"/>
          <w:sz w:val="22"/>
          <w:szCs w:val="22"/>
        </w:rPr>
        <w:t xml:space="preserve">Replace every placeholder in brackets or italics before sending. Keep paragraphs short. Keep the footer tagline on every page. It is the signature of the document, not decoration.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2D2D7" w:sz="4" w:space="8"/>
      </w:pBdr>
      <w:tabs>
        <w:tab w:val="right" w:pos="9026"/>
      </w:tabs>
    </w:pPr>
    <w:r>
      <w:rPr>
        <w:rFonts w:ascii="Inter" w:cs="Inter" w:eastAsia="Inter" w:hAnsi="Inter"/>
        <w:i/>
        <w:iCs/>
        <w:color w:val="6E6E73"/>
        <w:sz w:val="16"/>
        <w:szCs w:val="16"/>
      </w:rPr>
      <w:t xml:space="preserve">The highest compliment is seconds.</w:t>
    </w:r>
    <w:r>
      <w:rPr>
        <w:rFonts w:ascii="Inter" w:cs="Inter" w:eastAsia="Inter" w:hAnsi="Inter"/>
        <w:color w:val="6E6E73"/>
        <w:sz w:val="16"/>
        <w:szCs w:val="16"/>
      </w:rPr>
      <w:t xml:space="preserve">	Seconds 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2026-07-26T23:40:02.725Z</dcterms:created>
  <dcterms:modified xsi:type="dcterms:W3CDTF">2026-07-26T23:40:02.725Z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